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630" w:rsidRDefault="00036630">
      <w:pPr>
        <w:widowControl/>
        <w:tabs>
          <w:tab w:val="center" w:pos="4680"/>
        </w:tabs>
        <w:jc w:val="both"/>
        <w:rPr>
          <w:i/>
          <w:iCs/>
        </w:rPr>
      </w:pPr>
      <w:bookmarkStart w:id="0" w:name="_GoBack"/>
      <w:bookmarkEnd w:id="0"/>
      <w:r>
        <w:tab/>
      </w:r>
      <w:r>
        <w:rPr>
          <w:i/>
          <w:iCs/>
        </w:rPr>
        <w:t>Designated for electronic publication only</w:t>
      </w:r>
    </w:p>
    <w:p w:rsidR="00036630" w:rsidRDefault="00036630">
      <w:pPr>
        <w:widowControl/>
        <w:jc w:val="both"/>
      </w:pPr>
    </w:p>
    <w:p w:rsidR="00036630" w:rsidRDefault="00036630">
      <w:pPr>
        <w:widowControl/>
        <w:tabs>
          <w:tab w:val="center" w:pos="4680"/>
        </w:tabs>
        <w:jc w:val="both"/>
      </w:pPr>
      <w:r>
        <w:tab/>
      </w:r>
      <w:r>
        <w:rPr>
          <w:b/>
          <w:bCs/>
        </w:rPr>
        <w:t>UNITED STATES COURT OF APPEALS FOR VETERANS CLAIMS</w:t>
      </w:r>
    </w:p>
    <w:p w:rsidR="00036630" w:rsidRDefault="00036630">
      <w:pPr>
        <w:widowControl/>
        <w:jc w:val="both"/>
      </w:pPr>
    </w:p>
    <w:p w:rsidR="00036630" w:rsidRDefault="00036630">
      <w:pPr>
        <w:widowControl/>
        <w:jc w:val="both"/>
      </w:pPr>
    </w:p>
    <w:p w:rsidR="00036630" w:rsidRDefault="00036630">
      <w:pPr>
        <w:widowControl/>
        <w:tabs>
          <w:tab w:val="center" w:pos="4680"/>
        </w:tabs>
        <w:jc w:val="both"/>
      </w:pPr>
      <w:r>
        <w:tab/>
        <w:t>No. 98-623</w:t>
      </w:r>
    </w:p>
    <w:p w:rsidR="00036630" w:rsidRDefault="00036630">
      <w:pPr>
        <w:widowControl/>
        <w:jc w:val="both"/>
      </w:pPr>
    </w:p>
    <w:p w:rsidR="00036630" w:rsidRDefault="00036630">
      <w:pPr>
        <w:widowControl/>
        <w:tabs>
          <w:tab w:val="center" w:pos="4680"/>
        </w:tabs>
        <w:jc w:val="both"/>
      </w:pPr>
      <w:r>
        <w:tab/>
      </w:r>
      <w:r>
        <w:rPr>
          <w:smallCaps/>
        </w:rPr>
        <w:t>Loretta E. Lewis, Appellant</w:t>
      </w:r>
      <w:r>
        <w:t xml:space="preserve">, </w:t>
      </w:r>
    </w:p>
    <w:p w:rsidR="00036630" w:rsidRDefault="00036630">
      <w:pPr>
        <w:widowControl/>
        <w:jc w:val="both"/>
      </w:pPr>
    </w:p>
    <w:p w:rsidR="00036630" w:rsidRDefault="00036630">
      <w:pPr>
        <w:widowControl/>
        <w:tabs>
          <w:tab w:val="center" w:pos="4680"/>
        </w:tabs>
        <w:jc w:val="both"/>
      </w:pPr>
      <w:r>
        <w:tab/>
        <w:t>v.</w:t>
      </w:r>
    </w:p>
    <w:p w:rsidR="00036630" w:rsidRDefault="00036630">
      <w:pPr>
        <w:widowControl/>
        <w:jc w:val="both"/>
      </w:pPr>
    </w:p>
    <w:p w:rsidR="00036630" w:rsidRDefault="00036630">
      <w:pPr>
        <w:widowControl/>
        <w:tabs>
          <w:tab w:val="center" w:pos="4680"/>
        </w:tabs>
        <w:jc w:val="both"/>
      </w:pPr>
      <w:r>
        <w:tab/>
      </w:r>
      <w:r>
        <w:rPr>
          <w:smallCaps/>
        </w:rPr>
        <w:t xml:space="preserve">Togo D. West, Jr., </w:t>
      </w:r>
    </w:p>
    <w:p w:rsidR="00036630" w:rsidRDefault="00036630">
      <w:pPr>
        <w:widowControl/>
        <w:tabs>
          <w:tab w:val="center" w:pos="4680"/>
        </w:tabs>
        <w:jc w:val="both"/>
      </w:pPr>
      <w:r>
        <w:tab/>
      </w:r>
      <w:r>
        <w:rPr>
          <w:smallCaps/>
        </w:rPr>
        <w:t xml:space="preserve">Secretary of  Veterans Affairs, Appellee. </w:t>
      </w:r>
    </w:p>
    <w:p w:rsidR="00036630" w:rsidRDefault="00036630">
      <w:pPr>
        <w:widowControl/>
        <w:jc w:val="both"/>
      </w:pPr>
    </w:p>
    <w:p w:rsidR="00036630" w:rsidRDefault="00036630">
      <w:pPr>
        <w:widowControl/>
        <w:jc w:val="both"/>
      </w:pPr>
    </w:p>
    <w:p w:rsidR="00036630" w:rsidRDefault="00036630">
      <w:pPr>
        <w:widowControl/>
        <w:tabs>
          <w:tab w:val="center" w:pos="4680"/>
        </w:tabs>
        <w:jc w:val="both"/>
      </w:pPr>
      <w:r>
        <w:tab/>
        <w:t xml:space="preserve">Before FARLEY, </w:t>
      </w:r>
      <w:r>
        <w:rPr>
          <w:i/>
          <w:iCs/>
        </w:rPr>
        <w:t>Judge</w:t>
      </w:r>
      <w:r>
        <w:t>.</w:t>
      </w:r>
    </w:p>
    <w:p w:rsidR="00036630" w:rsidRDefault="00036630">
      <w:pPr>
        <w:widowControl/>
        <w:jc w:val="both"/>
      </w:pPr>
    </w:p>
    <w:p w:rsidR="00036630" w:rsidRDefault="00036630">
      <w:pPr>
        <w:widowControl/>
        <w:tabs>
          <w:tab w:val="center" w:pos="4680"/>
        </w:tabs>
        <w:jc w:val="both"/>
      </w:pPr>
      <w:r>
        <w:tab/>
      </w:r>
      <w:r>
        <w:rPr>
          <w:b/>
          <w:bCs/>
        </w:rPr>
        <w:t>MEMORANDUM DECISION</w:t>
      </w:r>
    </w:p>
    <w:p w:rsidR="00036630" w:rsidRDefault="00036630">
      <w:pPr>
        <w:widowControl/>
        <w:jc w:val="both"/>
      </w:pPr>
    </w:p>
    <w:p w:rsidR="00036630" w:rsidRDefault="00036630">
      <w:pPr>
        <w:widowControl/>
        <w:tabs>
          <w:tab w:val="center" w:pos="4680"/>
        </w:tabs>
        <w:jc w:val="both"/>
        <w:rPr>
          <w:i/>
          <w:iCs/>
        </w:rPr>
      </w:pPr>
      <w:r>
        <w:rPr>
          <w:i/>
          <w:iCs/>
        </w:rPr>
        <w:tab/>
        <w:t>Note:  Pursuant to U.S. Vet. App. R. 28(i),</w:t>
      </w:r>
    </w:p>
    <w:p w:rsidR="00036630" w:rsidRDefault="00036630">
      <w:pPr>
        <w:widowControl/>
        <w:tabs>
          <w:tab w:val="center" w:pos="4680"/>
        </w:tabs>
        <w:jc w:val="both"/>
        <w:rPr>
          <w:i/>
          <w:iCs/>
        </w:rPr>
      </w:pPr>
      <w:r>
        <w:rPr>
          <w:i/>
          <w:iCs/>
        </w:rPr>
        <w:tab/>
        <w:t>this action may not be cited as precedent.</w:t>
      </w:r>
    </w:p>
    <w:p w:rsidR="00036630" w:rsidRDefault="00036630">
      <w:pPr>
        <w:widowControl/>
        <w:jc w:val="both"/>
      </w:pPr>
    </w:p>
    <w:p w:rsidR="00036630" w:rsidRDefault="00036630">
      <w:pPr>
        <w:widowControl/>
        <w:spacing w:line="360" w:lineRule="auto"/>
        <w:ind w:firstLine="720"/>
        <w:jc w:val="both"/>
      </w:pPr>
      <w:r>
        <w:t xml:space="preserve">FARLEY, </w:t>
      </w:r>
      <w:r>
        <w:rPr>
          <w:i/>
          <w:iCs/>
        </w:rPr>
        <w:t>Judge</w:t>
      </w:r>
      <w:r>
        <w:t>:  This is an appeal from a November 17, 1997, decision of the Board of Veterans' Appeals (BVA or Board) which determined that the appellant's claim for service connection for hepatitis C was not well grounded.  The appellant has filed a brief and the Secretary has filed a motion for summary affirmance.  This appeal is timely and the Court has jurisdiction pursuant to 38 U.S.C. § 7252(a).  For the reasons that follow, the Court will vacate the decision of the BVA and remand the matter.</w:t>
      </w:r>
    </w:p>
    <w:p w:rsidR="00036630" w:rsidRDefault="00036630">
      <w:pPr>
        <w:widowControl/>
        <w:spacing w:line="360" w:lineRule="auto"/>
        <w:jc w:val="both"/>
      </w:pPr>
    </w:p>
    <w:p w:rsidR="00036630" w:rsidRDefault="00036630">
      <w:pPr>
        <w:widowControl/>
        <w:spacing w:line="360" w:lineRule="auto"/>
        <w:jc w:val="center"/>
      </w:pPr>
      <w:r>
        <w:rPr>
          <w:b/>
          <w:bCs/>
        </w:rPr>
        <w:t>I.  Background</w:t>
      </w:r>
      <w:r>
        <w:t xml:space="preserve"> </w:t>
      </w:r>
    </w:p>
    <w:p w:rsidR="00036630" w:rsidRDefault="00036630">
      <w:pPr>
        <w:widowControl/>
        <w:spacing w:line="360" w:lineRule="auto"/>
        <w:jc w:val="center"/>
        <w:sectPr w:rsidR="00036630">
          <w:pgSz w:w="12240" w:h="15840"/>
          <w:pgMar w:top="1440" w:right="1440" w:bottom="1440" w:left="1440" w:header="1440" w:footer="1440" w:gutter="0"/>
          <w:cols w:space="720"/>
          <w:noEndnote/>
        </w:sectPr>
      </w:pPr>
    </w:p>
    <w:p w:rsidR="00036630" w:rsidRDefault="00036630">
      <w:pPr>
        <w:widowControl/>
        <w:spacing w:line="360" w:lineRule="auto"/>
        <w:ind w:firstLine="720"/>
        <w:jc w:val="both"/>
      </w:pPr>
      <w:r>
        <w:lastRenderedPageBreak/>
        <w:t xml:space="preserve">The veteran, Loretta E. Lewis, served in the U.S. Army as a medic from April 1978 to April 1981.  Record (R.) at 13.  Her service medical records indicate that she was treated for repeated vaginal infections (R. at 21-28, 40, 43, 52-53, 59-60, 66), urinary tract infections (45-46, 59-60), gastroenteritis (R. at 50-53), gastritis and aerophagia (excessive swallowing), (R. at 54, 61-62, 66), functional constipation, (R. at 66), and chronic cholecysistis which was surgically corrected by the removal of her gall bladder (R. at 71-72, 75.)  </w:t>
      </w:r>
      <w:r>
        <w:rPr>
          <w:i/>
          <w:iCs/>
        </w:rPr>
        <w:t>See also</w:t>
      </w:r>
      <w:r>
        <w:t xml:space="preserve"> </w:t>
      </w:r>
      <w:r>
        <w:rPr>
          <w:rFonts w:ascii="Sakkal Majalla" w:hAnsi="Sakkal Majalla" w:cs="Sakkal Majalla"/>
          <w:smallCaps/>
        </w:rPr>
        <w:t>Dorland's Illustrated Medical Dictionary</w:t>
      </w:r>
      <w:r>
        <w:rPr>
          <w:rFonts w:ascii="Sakkal Majalla" w:hAnsi="Sakkal Majalla" w:cs="Sakkal Majalla"/>
        </w:rPr>
        <w:t xml:space="preserve"> (</w:t>
      </w:r>
      <w:r>
        <w:rPr>
          <w:rFonts w:ascii="Sakkal Majalla" w:hAnsi="Sakkal Majalla" w:cs="Sakkal Majalla"/>
          <w:smallCaps/>
        </w:rPr>
        <w:t>Dorland's</w:t>
      </w:r>
      <w:r>
        <w:rPr>
          <w:rFonts w:ascii="Sakkal Majalla" w:hAnsi="Sakkal Majalla" w:cs="Sakkal Majalla"/>
        </w:rPr>
        <w:t>) 33 (28th ed. 1990)</w:t>
      </w:r>
      <w:r>
        <w:rPr>
          <w:i/>
          <w:iCs/>
        </w:rPr>
        <w:t xml:space="preserve">. </w:t>
      </w:r>
      <w:r>
        <w:t xml:space="preserve"> At separation, she indicated that she did not wish to have a </w:t>
      </w:r>
      <w:r>
        <w:lastRenderedPageBreak/>
        <w:t xml:space="preserve">final medical examination (R. at 73), and on her medical history form, she denied any liver condition, hepatitis, or jaundice (R. at 74).  </w:t>
      </w:r>
    </w:p>
    <w:p w:rsidR="00036630" w:rsidRDefault="00036630">
      <w:pPr>
        <w:widowControl/>
        <w:spacing w:line="360" w:lineRule="auto"/>
        <w:ind w:firstLine="720"/>
        <w:jc w:val="both"/>
      </w:pPr>
      <w:r>
        <w:t xml:space="preserve">A few months after her separation from service the veteran underwent a VA examination, at which time it was noted that her digestive system and blood chemistry were within normal limits.  R. at 95, 106.  Blood chemistry panels were also found to be within normal limits in October 1981.  R. at 112.  In 1982 and 1983, the veteran complained of continued right upper quadrant pain and was thought to have a common bile duct stone.  R. at 129, 132, 134-35, 142.  In July 1983, she underwent an endoscopic retrograde cholangiopancrealduodenoscopy.  R. at 146-48.  In January 1984, she underwent a sonogram which found no ductal dilation.  R. at 153.  In June 1984, the examiner's impression was persistent costosterno (rib and sternum) tenderness (R. at 158) and in October 1984, irritable bowel syndrome was diagnosed.  R. at 161.  </w:t>
      </w:r>
      <w:r>
        <w:rPr>
          <w:i/>
          <w:iCs/>
        </w:rPr>
        <w:t xml:space="preserve">See </w:t>
      </w:r>
      <w:r>
        <w:rPr>
          <w:smallCaps/>
        </w:rPr>
        <w:t xml:space="preserve">Dorland's </w:t>
      </w:r>
      <w:r>
        <w:t xml:space="preserve">at 386.  In September 1985, a gastroenterologist stated that the appellant presented a "difficult" problem; he found her pain unrelated to medication and suggested she might have some pancreatic insufficiency.  He also concluded, "Emotional anxiety overlay a strong component here."  R. at 172.  </w:t>
      </w:r>
    </w:p>
    <w:p w:rsidR="00036630" w:rsidRDefault="00036630">
      <w:pPr>
        <w:widowControl/>
        <w:spacing w:line="360" w:lineRule="auto"/>
        <w:ind w:firstLine="720"/>
        <w:jc w:val="both"/>
      </w:pPr>
      <w:r>
        <w:t xml:space="preserve">At a February 1984 hearing regarding an increased rating for the veteran's service-connected gall bladder and pancreatitis, she reported that she had never been jaundiced, a condition sometimes associated with hepatitis.  R. at 261.  In February 1990, she was diagnosed with Mittelschmerz (pain associated with ovulation) and left lower quadrant abdominal pain.  R. at 293.   </w:t>
      </w:r>
      <w:r>
        <w:rPr>
          <w:smallCaps/>
        </w:rPr>
        <w:t>Dorland's</w:t>
      </w:r>
      <w:r>
        <w:t xml:space="preserve"> at 1047.  Liver function tests were within normal limits.  </w:t>
      </w:r>
      <w:r>
        <w:rPr>
          <w:i/>
          <w:iCs/>
        </w:rPr>
        <w:t>Id</w:t>
      </w:r>
      <w:r>
        <w:t xml:space="preserve">.  Records dated May to July 1995 show a diagnosis of hemochromatosis (disorder due to deposition of hemosiderin in the parenchymal cells, causing tissue damage and dysfunction of the liver, pancreas, heart, and pituitary, which can be acquired or genetic), and hepatitis C.  R. at 296, 302. </w:t>
      </w:r>
      <w:r>
        <w:rPr>
          <w:smallCaps/>
        </w:rPr>
        <w:t xml:space="preserve"> Dorland's </w:t>
      </w:r>
      <w:r>
        <w:t xml:space="preserve">at 747.  Her private physician, Dr. Shurberg, who diagnosed hepatitis A and hepatitis C noted, </w:t>
      </w:r>
    </w:p>
    <w:p w:rsidR="00036630" w:rsidRDefault="00036630">
      <w:pPr>
        <w:widowControl/>
        <w:ind w:left="720" w:right="720"/>
        <w:jc w:val="both"/>
      </w:pPr>
      <w:r>
        <w:t xml:space="preserve">Liver history dates back to a time when she was nauseous and possibly had elevated LFTs [liver function test(s)] resulting in a cholecystectomy in 1981 in Germany and was found to have a normal GB [gall bladder].  She developed problems with pruritus, fairly severe and saw a dermatologist in 1982 and this has continued over the years. . . She use to [sic] work as a medic in a laboratory with </w:t>
      </w:r>
      <w:r>
        <w:lastRenderedPageBreak/>
        <w:t>exposure to blood and probably had needle sticks through that.  She has never had any transfusions.</w:t>
      </w:r>
    </w:p>
    <w:p w:rsidR="00036630" w:rsidRDefault="00036630">
      <w:pPr>
        <w:widowControl/>
        <w:jc w:val="both"/>
      </w:pPr>
    </w:p>
    <w:p w:rsidR="00036630" w:rsidRDefault="00036630">
      <w:pPr>
        <w:widowControl/>
        <w:spacing w:line="360" w:lineRule="auto"/>
        <w:jc w:val="both"/>
      </w:pPr>
      <w:r>
        <w:t>R. at 297.</w:t>
      </w:r>
    </w:p>
    <w:p w:rsidR="00036630" w:rsidRDefault="00036630">
      <w:pPr>
        <w:widowControl/>
        <w:spacing w:line="360" w:lineRule="auto"/>
        <w:jc w:val="both"/>
        <w:sectPr w:rsidR="00036630">
          <w:footerReference w:type="default" r:id="rId7"/>
          <w:type w:val="continuous"/>
          <w:pgSz w:w="12240" w:h="15840"/>
          <w:pgMar w:top="1440" w:right="1440" w:bottom="1440" w:left="1440" w:header="1440" w:footer="1440" w:gutter="0"/>
          <w:cols w:space="720"/>
          <w:noEndnote/>
        </w:sectPr>
      </w:pPr>
    </w:p>
    <w:p w:rsidR="00036630" w:rsidRDefault="00036630">
      <w:pPr>
        <w:widowControl/>
        <w:spacing w:line="360" w:lineRule="auto"/>
        <w:ind w:firstLine="720"/>
        <w:jc w:val="both"/>
      </w:pPr>
      <w:r>
        <w:lastRenderedPageBreak/>
        <w:t xml:space="preserve">The VA regional office (RO) denied service connection in March 1996 stating that the service medical records were negative for hepatitis C and that the first indication of this disease was noted in May 1995.   R. at 312-13.   The veteran appealed and argued that her medical records could not have shown hepatitis C because a test for this condition was not developed until 1990.  R. at 337.  She also maintained that she had had signs and symptoms of hepatitis C in service and since discharge.  R. at 338.  </w:t>
      </w:r>
    </w:p>
    <w:p w:rsidR="00036630" w:rsidRDefault="00036630">
      <w:pPr>
        <w:widowControl/>
        <w:spacing w:line="360" w:lineRule="auto"/>
        <w:ind w:firstLine="720"/>
        <w:jc w:val="both"/>
      </w:pPr>
      <w:r>
        <w:t>At an August 1997 hearing, the veteran recounted her stomach problems in and since service.  She stated that the removal of her gall bladder in service did not solve her problems.  She explained that she was a medic in service and was required to draw blood from drug-addicted soldiers and that in so doing she had been stuck by needles 4 to 5 times.  R. at 358.  She also reported being rejected as a blood donor by the Red Cross in 1990 or 1991 because she had hepatitis antigens in her blood.  She thought her doctor had ordered blood tests at that time, but when she asked about it, she reported, "they said they didn't see any hepatitis C or something."  R. at 360.  The veteran further added that she had asked a VA physician to comment on the etiology of her hepatitis C but that he "couldn't elaborate on that" and did not provide anything in writing.  R. at 365.  The hearing officer left the record open for 60 days in order for the appellant to obtain a physician's opinion that her hepatitis C had its onset in service (R. at 369-70), but no additional evidence was submitted.</w:t>
      </w:r>
    </w:p>
    <w:p w:rsidR="00036630" w:rsidRDefault="00036630">
      <w:pPr>
        <w:widowControl/>
        <w:spacing w:line="360" w:lineRule="auto"/>
        <w:ind w:firstLine="720"/>
        <w:jc w:val="both"/>
      </w:pPr>
      <w:r>
        <w:t>The BVA denied the claim as not well grounded.  It discounted the appellant's testimony, finding her incompetent to give opinions as to medical matters.  It also discounted Dr. Shurberg's statement as being insufficient to establish a nexus because his remarks reflected "mere lay history obtained directly from the veteran, unenhanced by any medical comment."  R. at 8.  It also noted that the appellant was expressly provided an opportunity to seek a medical opinion as to nexus and failed to do so.  R. at 9.  This appeal followed.</w:t>
      </w:r>
    </w:p>
    <w:p w:rsidR="00036630" w:rsidRDefault="00036630">
      <w:pPr>
        <w:widowControl/>
        <w:spacing w:line="360" w:lineRule="auto"/>
        <w:ind w:firstLine="720"/>
        <w:jc w:val="both"/>
      </w:pPr>
      <w:r>
        <w:t xml:space="preserve">The appellant has reiterated to the Court the arguments that were made below.  The Secretary responded by noting that the first diagnosis of hepatitis C was made 16 years after </w:t>
      </w:r>
      <w:r>
        <w:lastRenderedPageBreak/>
        <w:t xml:space="preserve">service and that there is no competent medical evidence that links it to service, therefore rendering the claim not well grounded. </w:t>
      </w:r>
    </w:p>
    <w:p w:rsidR="00036630" w:rsidRDefault="00036630">
      <w:pPr>
        <w:widowControl/>
        <w:spacing w:line="360" w:lineRule="auto"/>
        <w:jc w:val="both"/>
      </w:pPr>
    </w:p>
    <w:p w:rsidR="00036630" w:rsidRDefault="00036630">
      <w:pPr>
        <w:widowControl/>
        <w:spacing w:line="360" w:lineRule="auto"/>
        <w:jc w:val="both"/>
        <w:sectPr w:rsidR="00036630">
          <w:type w:val="continuous"/>
          <w:pgSz w:w="12240" w:h="15840"/>
          <w:pgMar w:top="1440" w:right="1440" w:bottom="1440" w:left="1440" w:header="1440" w:footer="1440" w:gutter="0"/>
          <w:cols w:space="720"/>
          <w:noEndnote/>
        </w:sectPr>
      </w:pPr>
    </w:p>
    <w:p w:rsidR="00036630" w:rsidRDefault="00036630">
      <w:pPr>
        <w:keepNext/>
        <w:keepLines/>
        <w:widowControl/>
        <w:spacing w:line="360" w:lineRule="auto"/>
        <w:jc w:val="center"/>
      </w:pPr>
      <w:r>
        <w:rPr>
          <w:b/>
          <w:bCs/>
        </w:rPr>
        <w:t>II.  Analysis</w:t>
      </w:r>
    </w:p>
    <w:p w:rsidR="00036630" w:rsidRDefault="00036630">
      <w:pPr>
        <w:keepLines/>
        <w:widowControl/>
        <w:spacing w:line="360" w:lineRule="auto"/>
        <w:ind w:firstLine="720"/>
        <w:jc w:val="both"/>
      </w:pPr>
      <w:r>
        <w:t xml:space="preserve">Section 5107(a) of title 38, U.S. Code, provides in pertinent part:  "[A] person who submits a claim for benefits under a law administered by the Secretary shall have the burden of submitting evidence sufficient to justify a belief by a fair and impartial individual that the claim is well grounded."  The determination of whether a claim is well grounded is a matter of law which this Court reviews de novo.  </w:t>
      </w:r>
      <w:r>
        <w:rPr>
          <w:i/>
          <w:iCs/>
        </w:rPr>
        <w:t>Grivois v. Brown</w:t>
      </w:r>
      <w:r>
        <w:t xml:space="preserve">, 6 Vet.App. 136, 139 (1994).  A well-grounded claim is "a plausible claim, one which is meritorious on its own or capable of substantiation.  Such a claim need not be conclusive but only possible to satisfy the initial burden of [§ 5107(a)]."  </w:t>
      </w:r>
      <w:r>
        <w:rPr>
          <w:i/>
          <w:iCs/>
        </w:rPr>
        <w:t>Murphy v. Derwinski</w:t>
      </w:r>
      <w:r>
        <w:t xml:space="preserve">, 1 Vet.App. 78, 81 (1990).  "The quality and quantity of the evidence required to meet this statutory burden of necessity will depend upon the issue presented by the claim."  </w:t>
      </w:r>
      <w:r>
        <w:rPr>
          <w:i/>
          <w:iCs/>
        </w:rPr>
        <w:t>Grottveit v. Brown</w:t>
      </w:r>
      <w:r>
        <w:t xml:space="preserve">, 5 Vet.App. 91, 92-93 (1993).  Where the determinative issue involves medical causation or a medical diagnosis, competent medical evidence to the effect that the claim is "plausible" is generally required.  </w:t>
      </w:r>
      <w:r>
        <w:rPr>
          <w:i/>
          <w:iCs/>
        </w:rPr>
        <w:t>Id.</w:t>
      </w:r>
      <w:r>
        <w:t xml:space="preserve"> at 93.  In </w:t>
      </w:r>
      <w:r>
        <w:rPr>
          <w:i/>
          <w:iCs/>
        </w:rPr>
        <w:t>Caluza v. Brown</w:t>
      </w:r>
      <w:r>
        <w:t xml:space="preserve">, the Court held that for such a claim to be well grounded, there generally must be (1) a medical diagnosis of a current disability; (2) medical or, in certain circumstances, lay evidence of incurrence or aggravation of a disease or injury in service; and (3) medical evidence of a nexus between an in-service injury or disease and the current disability.  7 Vet.App. 498, 506 (1995), </w:t>
      </w:r>
      <w:r>
        <w:rPr>
          <w:i/>
          <w:iCs/>
        </w:rPr>
        <w:t>aff'd</w:t>
      </w:r>
      <w:r>
        <w:t xml:space="preserve">, 78 F.3d 604 (Fed. Cir. 1996) (table); </w:t>
      </w:r>
      <w:r>
        <w:rPr>
          <w:i/>
          <w:iCs/>
        </w:rPr>
        <w:t>see also Epps v. Brown</w:t>
      </w:r>
      <w:r>
        <w:t xml:space="preserve">, 9 Vet.App. 341 (1996), </w:t>
      </w:r>
      <w:r>
        <w:rPr>
          <w:i/>
          <w:iCs/>
        </w:rPr>
        <w:t>aff'd</w:t>
      </w:r>
      <w:r>
        <w:t xml:space="preserve"> </w:t>
      </w:r>
      <w:r>
        <w:rPr>
          <w:i/>
          <w:iCs/>
        </w:rPr>
        <w:t>sub nom.</w:t>
      </w:r>
      <w:r>
        <w:t xml:space="preserve"> </w:t>
      </w:r>
      <w:r>
        <w:rPr>
          <w:i/>
          <w:iCs/>
        </w:rPr>
        <w:t>Epps v. Gober</w:t>
      </w:r>
      <w:r>
        <w:t xml:space="preserve">, 126 F.3d 1464 (Fed. Cir. 1997), </w:t>
      </w:r>
      <w:r>
        <w:rPr>
          <w:i/>
          <w:iCs/>
        </w:rPr>
        <w:t>cert. denied</w:t>
      </w:r>
      <w:r>
        <w:t xml:space="preserve">, 118 S.Ct. 2348 (1998).  </w:t>
      </w:r>
      <w:r>
        <w:tab/>
      </w:r>
    </w:p>
    <w:p w:rsidR="00036630" w:rsidRDefault="00036630">
      <w:pPr>
        <w:widowControl/>
        <w:spacing w:line="360" w:lineRule="auto"/>
        <w:ind w:firstLine="720"/>
        <w:jc w:val="both"/>
      </w:pPr>
      <w:r>
        <w:t xml:space="preserve">Where the determinative issue is factual rather than one requiring medical judgment, lay testimony may constitute sufficient evidence to well ground the claim.  </w:t>
      </w:r>
      <w:r>
        <w:rPr>
          <w:i/>
          <w:iCs/>
        </w:rPr>
        <w:t>Grottveit</w:t>
      </w:r>
      <w:r>
        <w:t xml:space="preserve">, 5 Vet.App. at 93.  Similarly, lay evidence concerning the manifestations of a chronic condition during service or within a presumptive period may suffice.  </w:t>
      </w:r>
      <w:r>
        <w:rPr>
          <w:i/>
          <w:iCs/>
        </w:rPr>
        <w:t>Caldwell v. Derwinski</w:t>
      </w:r>
      <w:r>
        <w:t xml:space="preserve">, 1 Vet.App. 466, 469 (1991).  When a condition is not chronic, and there is no medical evidence of a causal nexus, continuity of symptomatology, which may be shown by medical evidence or lay testimony, would be required.  </w:t>
      </w:r>
      <w:r>
        <w:rPr>
          <w:i/>
          <w:iCs/>
        </w:rPr>
        <w:t xml:space="preserve">See </w:t>
      </w:r>
      <w:r>
        <w:t xml:space="preserve">38 C.F.R. § 3.303(b); </w:t>
      </w:r>
      <w:r>
        <w:rPr>
          <w:i/>
          <w:iCs/>
        </w:rPr>
        <w:t>Godfrey v. Brown</w:t>
      </w:r>
      <w:r>
        <w:t>, 7 Vet.App. 398, 406 (1995).</w:t>
      </w:r>
    </w:p>
    <w:p w:rsidR="00036630" w:rsidRDefault="00036630">
      <w:pPr>
        <w:widowControl/>
        <w:spacing w:line="360" w:lineRule="auto"/>
        <w:ind w:firstLine="720"/>
        <w:jc w:val="both"/>
        <w:sectPr w:rsidR="00036630">
          <w:type w:val="continuous"/>
          <w:pgSz w:w="12240" w:h="15840"/>
          <w:pgMar w:top="1440" w:right="1440" w:bottom="1440" w:left="1440" w:header="1440" w:footer="1440" w:gutter="0"/>
          <w:cols w:space="720"/>
          <w:noEndnote/>
        </w:sectPr>
      </w:pPr>
    </w:p>
    <w:p w:rsidR="00036630" w:rsidRDefault="00036630">
      <w:pPr>
        <w:widowControl/>
        <w:spacing w:line="360" w:lineRule="auto"/>
        <w:ind w:firstLine="720"/>
        <w:jc w:val="both"/>
      </w:pPr>
      <w:r>
        <w:t xml:space="preserve">Here, the appellant has submitted evidence of a current diagnosis of hepatitis C infection and has also provided testimony to possible in-service incurrence in the form of needle sticks when she served as a medic.  With respect to the nexus requirement, the Court disagrees with the BVA determination, and finds  Dr. Shurbergs' statement to be sufficient evidence of nexus.  The Board, in its statement of reasons or bases, noted that Dr. Shurberg's remark was unenhanced by any medical comment.  The record indicates, however, that Dr. Shurberg provided an in-depth medical examination, reiterated the veteran's lab results, diagnosed hepatitis A and C, both being inflammations of the liver, discussed the veteran's history of liver trouble and concluded that the veteran, who had worked in a laboratory with exposure to blood, "probably had needle sticks through that."  As the appellant had always maintained that she did, indeed, prick herself while at work, it would follow that the "probably" construction was the physician's.  Although Dr. Shurberg's statement is not the text-book model for providing medical nexus, we have stated previously that the type of evidence that satisfies the medical nexus requirement will differ from case to case and a template is simply not possible.  </w:t>
      </w:r>
      <w:r>
        <w:rPr>
          <w:i/>
          <w:iCs/>
        </w:rPr>
        <w:t>Bloom v. West</w:t>
      </w:r>
      <w:r>
        <w:t>, 12 Vet.App. 185 (1999).  Moreover, the Court takes judicial notice of a January 27, 1999, Department of Veterans Affairs News Release which states that "the virus was characterized by the name hepatitis C in 1989."  Given the overwhelming evidence in this particular record showing that the appellant suffered from a number of gastrointestinal/upper-quadrant disorders; the physicians' apparent trouble in diagnosing her, including the statement from a physician that hers was a difficult case; the contention, unaddressed by the Board's decision, that hepatitis C could not have been diagnosed prior to the time that it was, the Court concludes that the veteran has presented a well-grounded claim that entitles her to further examinations and assistance from the VA.</w:t>
      </w:r>
    </w:p>
    <w:p w:rsidR="00036630" w:rsidRDefault="00036630">
      <w:pPr>
        <w:widowControl/>
        <w:spacing w:line="360" w:lineRule="auto"/>
        <w:jc w:val="both"/>
      </w:pPr>
    </w:p>
    <w:p w:rsidR="00036630" w:rsidRDefault="00036630">
      <w:pPr>
        <w:widowControl/>
        <w:spacing w:line="360" w:lineRule="auto"/>
        <w:jc w:val="center"/>
        <w:rPr>
          <w:b/>
          <w:bCs/>
        </w:rPr>
      </w:pPr>
      <w:r>
        <w:rPr>
          <w:b/>
          <w:bCs/>
        </w:rPr>
        <w:t>III.  Conclusion</w:t>
      </w:r>
    </w:p>
    <w:p w:rsidR="00036630" w:rsidRDefault="00036630">
      <w:pPr>
        <w:keepNext/>
        <w:keepLines/>
        <w:widowControl/>
        <w:spacing w:line="360" w:lineRule="auto"/>
        <w:ind w:firstLine="720"/>
        <w:jc w:val="both"/>
      </w:pPr>
      <w:r>
        <w:t xml:space="preserve">Accordingly, the November 17, 1997, BVA decision is VACATED and the matter is REMANDED for further adjudication.  Summary disposition is appropriate.  </w:t>
      </w:r>
      <w:r>
        <w:rPr>
          <w:i/>
          <w:iCs/>
        </w:rPr>
        <w:t>Frankel v. Derwinski</w:t>
      </w:r>
      <w:r>
        <w:t>, 1 Vet.App. 23 (1990).</w:t>
      </w:r>
      <w:r>
        <w:tab/>
      </w:r>
    </w:p>
    <w:p w:rsidR="00036630" w:rsidRDefault="00036630">
      <w:pPr>
        <w:keepNext/>
        <w:keepLines/>
        <w:widowControl/>
        <w:spacing w:line="360" w:lineRule="auto"/>
        <w:jc w:val="both"/>
      </w:pPr>
    </w:p>
    <w:p w:rsidR="00036630" w:rsidRDefault="00036630">
      <w:pPr>
        <w:keepNext/>
        <w:keepLines/>
        <w:widowControl/>
        <w:spacing w:line="360" w:lineRule="auto"/>
        <w:jc w:val="both"/>
      </w:pPr>
      <w:r>
        <w:t xml:space="preserve">DATED:  May 19, 1999 </w:t>
      </w:r>
    </w:p>
    <w:p w:rsidR="00036630" w:rsidRDefault="00036630">
      <w:pPr>
        <w:keepLines/>
        <w:widowControl/>
        <w:spacing w:line="360" w:lineRule="auto"/>
        <w:jc w:val="both"/>
      </w:pPr>
      <w:bookmarkStart w:id="1" w:name="QuickMark"/>
      <w:bookmarkEnd w:id="1"/>
    </w:p>
    <w:p w:rsidR="00036630" w:rsidRDefault="00036630">
      <w:pPr>
        <w:widowControl/>
        <w:spacing w:line="360" w:lineRule="auto"/>
        <w:jc w:val="both"/>
      </w:pPr>
      <w:r>
        <w:t>Copies to:</w:t>
      </w:r>
    </w:p>
    <w:p w:rsidR="00036630" w:rsidRDefault="00036630">
      <w:pPr>
        <w:widowControl/>
        <w:spacing w:line="360" w:lineRule="auto"/>
        <w:jc w:val="both"/>
        <w:sectPr w:rsidR="00036630">
          <w:footerReference w:type="default" r:id="rId8"/>
          <w:type w:val="continuous"/>
          <w:pgSz w:w="12240" w:h="15840"/>
          <w:pgMar w:top="1440" w:right="1440" w:bottom="1440" w:left="1440" w:header="1440" w:footer="1440" w:gutter="0"/>
          <w:cols w:space="720"/>
          <w:noEndnote/>
        </w:sectPr>
      </w:pPr>
    </w:p>
    <w:p w:rsidR="00036630" w:rsidRDefault="00036630">
      <w:pPr>
        <w:widowControl/>
        <w:jc w:val="both"/>
      </w:pPr>
    </w:p>
    <w:p w:rsidR="00036630" w:rsidRDefault="00036630">
      <w:pPr>
        <w:widowControl/>
        <w:jc w:val="both"/>
      </w:pPr>
      <w:r>
        <w:t>Loretta E. Lewis</w:t>
      </w:r>
    </w:p>
    <w:p w:rsidR="00036630" w:rsidRDefault="00036630">
      <w:pPr>
        <w:widowControl/>
        <w:jc w:val="both"/>
      </w:pPr>
      <w:r>
        <w:t>629 Fourth Street</w:t>
      </w:r>
    </w:p>
    <w:p w:rsidR="00036630" w:rsidRDefault="00036630">
      <w:pPr>
        <w:widowControl/>
        <w:jc w:val="both"/>
      </w:pPr>
      <w:r>
        <w:t>Culpeper, VA 22701</w:t>
      </w:r>
    </w:p>
    <w:p w:rsidR="00036630" w:rsidRDefault="00036630">
      <w:pPr>
        <w:widowControl/>
        <w:jc w:val="both"/>
      </w:pPr>
      <w:r>
        <w:t>General Counsel (027)</w:t>
      </w:r>
    </w:p>
    <w:p w:rsidR="00036630" w:rsidRDefault="00036630">
      <w:pPr>
        <w:widowControl/>
        <w:jc w:val="both"/>
      </w:pPr>
      <w:r>
        <w:t>Department of Veterans Affairs</w:t>
      </w:r>
    </w:p>
    <w:p w:rsidR="00036630" w:rsidRDefault="00036630">
      <w:pPr>
        <w:widowControl/>
        <w:jc w:val="both"/>
      </w:pPr>
      <w:r>
        <w:t>810 Vermont Avenue, NW</w:t>
      </w:r>
    </w:p>
    <w:p w:rsidR="00036630" w:rsidRDefault="00036630">
      <w:pPr>
        <w:widowControl/>
        <w:jc w:val="both"/>
      </w:pPr>
      <w:r>
        <w:t xml:space="preserve">Washington, DC  20420 </w:t>
      </w:r>
    </w:p>
    <w:sectPr w:rsidR="00036630" w:rsidSect="00036630">
      <w:type w:val="continuous"/>
      <w:pgSz w:w="12240" w:h="15840"/>
      <w:pgMar w:top="1440" w:right="1440" w:bottom="1440" w:left="1440" w:header="1440" w:footer="1440" w:gutter="0"/>
      <w:cols w:num="2" w:space="720" w:equalWidth="0">
        <w:col w:w="4320" w:space="720"/>
        <w:col w:w="432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4304" w:rsidRDefault="00F64304" w:rsidP="00036630">
      <w:r>
        <w:separator/>
      </w:r>
    </w:p>
  </w:endnote>
  <w:endnote w:type="continuationSeparator" w:id="0">
    <w:p w:rsidR="00F64304" w:rsidRDefault="00F64304" w:rsidP="00036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6630" w:rsidRDefault="00036630">
    <w:pPr>
      <w:spacing w:line="240" w:lineRule="exact"/>
    </w:pPr>
  </w:p>
  <w:p w:rsidR="00036630" w:rsidRDefault="00036630">
    <w:pPr>
      <w:framePr w:w="9361" w:wrap="notBeside" w:vAnchor="text" w:hAnchor="text" w:x="1" w:y="1"/>
      <w:jc w:val="center"/>
      <w:rPr>
        <w:rFonts w:ascii="Sakkal Majalla" w:hAnsi="Sakkal Majalla" w:cs="Sakkal Majalla"/>
      </w:rPr>
    </w:pPr>
    <w:r>
      <w:rPr>
        <w:rFonts w:ascii="Sakkal Majalla" w:hAnsi="Sakkal Majalla" w:cs="Sakkal Majalla"/>
      </w:rPr>
      <w:fldChar w:fldCharType="begin"/>
    </w:r>
    <w:r>
      <w:rPr>
        <w:rFonts w:ascii="Sakkal Majalla" w:hAnsi="Sakkal Majalla" w:cs="Sakkal Majalla"/>
      </w:rPr>
      <w:instrText xml:space="preserve">PAGE </w:instrText>
    </w:r>
    <w:r w:rsidR="00C07EF8">
      <w:rPr>
        <w:rFonts w:ascii="Sakkal Majalla" w:hAnsi="Sakkal Majalla" w:cs="Sakkal Majalla"/>
      </w:rPr>
      <w:fldChar w:fldCharType="separate"/>
    </w:r>
    <w:r w:rsidR="00C07EF8">
      <w:rPr>
        <w:rFonts w:ascii="Sakkal Majalla" w:hAnsi="Sakkal Majalla" w:cs="Sakkal Majalla"/>
        <w:noProof/>
      </w:rPr>
      <w:t>2</w:t>
    </w:r>
    <w:r>
      <w:rPr>
        <w:rFonts w:ascii="Sakkal Majalla" w:hAnsi="Sakkal Majalla" w:cs="Sakkal Majalla"/>
      </w:rPr>
      <w:fldChar w:fldCharType="end"/>
    </w:r>
  </w:p>
  <w:p w:rsidR="00036630" w:rsidRDefault="00036630"/>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6630" w:rsidRDefault="00036630">
    <w:pPr>
      <w:spacing w:line="240" w:lineRule="exact"/>
    </w:pPr>
  </w:p>
  <w:p w:rsidR="00036630" w:rsidRDefault="00036630">
    <w:pPr>
      <w:framePr w:w="9361" w:wrap="notBeside" w:vAnchor="text" w:hAnchor="text" w:x="1" w:y="1"/>
      <w:jc w:val="center"/>
      <w:rPr>
        <w:rFonts w:ascii="Sakkal Majalla" w:hAnsi="Sakkal Majalla" w:cs="Sakkal Majalla"/>
      </w:rPr>
    </w:pPr>
    <w:r>
      <w:rPr>
        <w:rFonts w:ascii="Sakkal Majalla" w:hAnsi="Sakkal Majalla" w:cs="Sakkal Majalla"/>
      </w:rPr>
      <w:fldChar w:fldCharType="begin"/>
    </w:r>
    <w:r>
      <w:rPr>
        <w:rFonts w:ascii="Sakkal Majalla" w:hAnsi="Sakkal Majalla" w:cs="Sakkal Majalla"/>
      </w:rPr>
      <w:instrText xml:space="preserve">PAGE </w:instrText>
    </w:r>
    <w:r>
      <w:rPr>
        <w:rFonts w:ascii="Sakkal Majalla" w:hAnsi="Sakkal Majalla" w:cs="Sakkal Majalla"/>
      </w:rPr>
      <w:fldChar w:fldCharType="end"/>
    </w:r>
  </w:p>
  <w:p w:rsidR="00036630" w:rsidRDefault="00036630">
    <w:pPr>
      <w:jc w:val="right"/>
      <w:rPr>
        <w:rFonts w:ascii="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4304" w:rsidRDefault="00F64304" w:rsidP="00036630">
      <w:r>
        <w:separator/>
      </w:r>
    </w:p>
  </w:footnote>
  <w:footnote w:type="continuationSeparator" w:id="0">
    <w:p w:rsidR="00F64304" w:rsidRDefault="00F64304" w:rsidP="000366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630"/>
    <w:rsid w:val="00036630"/>
    <w:rsid w:val="00C07EF8"/>
    <w:rsid w:val="00F643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1713</Words>
  <Characters>9767</Characters>
  <Application>Microsoft Office Word</Application>
  <DocSecurity>0</DocSecurity>
  <Lines>81</Lines>
  <Paragraphs>22</Paragraphs>
  <ScaleCrop>false</ScaleCrop>
  <Company>Microsoft</Company>
  <LinksUpToDate>false</LinksUpToDate>
  <CharactersWithSpaces>11458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Alex</cp:lastModifiedBy>
  <cp:revision>2</cp:revision>
  <dcterms:created xsi:type="dcterms:W3CDTF">2014-01-15T05:24:00Z</dcterms:created>
  <dcterms:modified xsi:type="dcterms:W3CDTF">2014-01-15T05:24:00Z</dcterms:modified>
</cp:coreProperties>
</file>